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79" w:rsidRDefault="00773C79" w:rsidP="00773C79">
      <w:r>
        <w:rPr>
          <w:noProof/>
          <w:lang w:eastAsia="cs-CZ"/>
        </w:rPr>
        <w:drawing>
          <wp:inline distT="0" distB="0" distL="0" distR="0" wp14:anchorId="72613616" wp14:editId="1664D451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79" w:rsidRDefault="00773C79" w:rsidP="00773C79"/>
    <w:p w:rsidR="00773C79" w:rsidRDefault="00773C79" w:rsidP="00773C79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 - pojmy a značení </w:t>
      </w:r>
      <w:r>
        <w:rPr>
          <w:rFonts w:asciiTheme="majorHAnsi" w:hAnsiTheme="majorHAnsi"/>
          <w:b/>
          <w:sz w:val="40"/>
          <w:szCs w:val="40"/>
        </w:rPr>
        <w:t>3</w:t>
      </w:r>
    </w:p>
    <w:p w:rsidR="009B1CDC" w:rsidRPr="00C566D7" w:rsidRDefault="009B1CDC" w:rsidP="009B1CDC">
      <w:pPr>
        <w:jc w:val="center"/>
        <w:rPr>
          <w:rFonts w:asciiTheme="majorHAnsi" w:hAnsiTheme="majorHAnsi"/>
          <w:sz w:val="44"/>
          <w:szCs w:val="44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9B1CDC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9B1CDC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Pr="00C566D7" w:rsidRDefault="009B1CDC" w:rsidP="009B1CDC">
      <w:pPr>
        <w:jc w:val="center"/>
        <w:rPr>
          <w:rFonts w:asciiTheme="majorHAnsi" w:hAnsiTheme="majorHAnsi"/>
          <w:sz w:val="40"/>
          <w:szCs w:val="40"/>
        </w:rPr>
      </w:pPr>
    </w:p>
    <w:p w:rsidR="009B1CDC" w:rsidRDefault="009B1CDC" w:rsidP="009B1CDC"/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>Anotace</w:t>
      </w: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>Předmět: matematika</w:t>
      </w: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>Ročník: III. ročník SŠ</w:t>
      </w: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 xml:space="preserve">Klíčová slova: </w:t>
      </w:r>
      <w:r>
        <w:rPr>
          <w:rFonts w:asciiTheme="majorHAnsi" w:hAnsiTheme="majorHAnsi"/>
          <w:sz w:val="32"/>
          <w:szCs w:val="32"/>
        </w:rPr>
        <w:t>jednoduché úročení, složené úročení, geometrická poslou</w:t>
      </w:r>
      <w:r w:rsidR="00FC3BE6">
        <w:rPr>
          <w:rFonts w:asciiTheme="majorHAnsi" w:hAnsiTheme="majorHAnsi"/>
          <w:sz w:val="32"/>
          <w:szCs w:val="32"/>
        </w:rPr>
        <w:t>p</w:t>
      </w:r>
      <w:r>
        <w:rPr>
          <w:rFonts w:asciiTheme="majorHAnsi" w:hAnsiTheme="majorHAnsi"/>
          <w:sz w:val="32"/>
          <w:szCs w:val="32"/>
        </w:rPr>
        <w:t>nost</w:t>
      </w: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>Forma: výklad</w:t>
      </w: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  <w:r w:rsidRPr="009B1CDC">
        <w:rPr>
          <w:rFonts w:asciiTheme="majorHAnsi" w:hAnsiTheme="majorHAnsi"/>
          <w:sz w:val="32"/>
          <w:szCs w:val="32"/>
        </w:rPr>
        <w:t xml:space="preserve">Datum vytvoření: </w:t>
      </w:r>
      <w:r>
        <w:rPr>
          <w:rFonts w:asciiTheme="majorHAnsi" w:hAnsiTheme="majorHAnsi"/>
          <w:sz w:val="32"/>
          <w:szCs w:val="32"/>
        </w:rPr>
        <w:t>6. 1. 2014</w:t>
      </w: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9B1CDC" w:rsidRPr="009B1CDC" w:rsidRDefault="009B1CDC" w:rsidP="009B1CDC">
      <w:pPr>
        <w:rPr>
          <w:rFonts w:asciiTheme="majorHAnsi" w:hAnsiTheme="majorHAnsi"/>
          <w:sz w:val="32"/>
          <w:szCs w:val="32"/>
        </w:rPr>
      </w:pPr>
    </w:p>
    <w:p w:rsidR="00CB134C" w:rsidRDefault="00CB134C" w:rsidP="00CB134C">
      <w:pPr>
        <w:jc w:val="center"/>
        <w:rPr>
          <w:rFonts w:asciiTheme="majorHAnsi" w:hAnsiTheme="majorHAnsi"/>
          <w:sz w:val="40"/>
          <w:szCs w:val="40"/>
        </w:rPr>
      </w:pPr>
    </w:p>
    <w:p w:rsidR="009B1CDC" w:rsidRDefault="009B1CDC" w:rsidP="00CB134C">
      <w:pPr>
        <w:jc w:val="center"/>
        <w:rPr>
          <w:rFonts w:asciiTheme="majorHAnsi" w:hAnsiTheme="majorHAnsi"/>
          <w:sz w:val="40"/>
          <w:szCs w:val="40"/>
        </w:rPr>
      </w:pPr>
    </w:p>
    <w:p w:rsidR="009B1CDC" w:rsidRDefault="009B1CDC" w:rsidP="00CB134C">
      <w:pPr>
        <w:jc w:val="center"/>
        <w:rPr>
          <w:rFonts w:asciiTheme="majorHAnsi" w:hAnsiTheme="majorHAnsi"/>
          <w:sz w:val="40"/>
          <w:szCs w:val="40"/>
        </w:rPr>
      </w:pPr>
    </w:p>
    <w:p w:rsidR="009B1CDC" w:rsidRDefault="009B1CDC" w:rsidP="00CB134C">
      <w:pPr>
        <w:jc w:val="center"/>
        <w:rPr>
          <w:rFonts w:asciiTheme="majorHAnsi" w:hAnsiTheme="majorHAnsi"/>
          <w:sz w:val="40"/>
          <w:szCs w:val="40"/>
        </w:rPr>
      </w:pPr>
    </w:p>
    <w:p w:rsidR="00C17E6F" w:rsidRDefault="00CB134C" w:rsidP="00CB134C">
      <w:pPr>
        <w:jc w:val="center"/>
        <w:rPr>
          <w:rFonts w:asciiTheme="majorHAnsi" w:hAnsiTheme="majorHAnsi"/>
          <w:sz w:val="40"/>
          <w:szCs w:val="40"/>
        </w:rPr>
      </w:pPr>
      <w:r w:rsidRPr="00CB134C">
        <w:rPr>
          <w:rFonts w:asciiTheme="majorHAnsi" w:hAnsiTheme="majorHAnsi"/>
          <w:sz w:val="40"/>
          <w:szCs w:val="40"/>
        </w:rPr>
        <w:t>Finanční matematika – pojmy a značení 3</w:t>
      </w:r>
    </w:p>
    <w:p w:rsidR="00CB134C" w:rsidRDefault="00CB134C" w:rsidP="00CB134C">
      <w:pPr>
        <w:jc w:val="center"/>
        <w:rPr>
          <w:rFonts w:asciiTheme="majorHAnsi" w:hAnsiTheme="majorHAnsi"/>
          <w:sz w:val="40"/>
          <w:szCs w:val="40"/>
        </w:rPr>
      </w:pPr>
    </w:p>
    <w:p w:rsidR="006A38FD" w:rsidRDefault="006A38FD" w:rsidP="00CB134C">
      <w:pPr>
        <w:jc w:val="center"/>
        <w:rPr>
          <w:rFonts w:asciiTheme="majorHAnsi" w:hAnsiTheme="majorHAnsi"/>
          <w:sz w:val="40"/>
          <w:szCs w:val="40"/>
        </w:rPr>
      </w:pPr>
    </w:p>
    <w:p w:rsidR="00BA0617" w:rsidRDefault="006A38FD" w:rsidP="00CB134C">
      <w:pPr>
        <w:rPr>
          <w:sz w:val="32"/>
          <w:szCs w:val="32"/>
        </w:rPr>
      </w:pPr>
      <w:r w:rsidRPr="00BA0617">
        <w:rPr>
          <w:b/>
          <w:color w:val="C00000"/>
          <w:sz w:val="32"/>
          <w:szCs w:val="32"/>
        </w:rPr>
        <w:t>Jednoduché úročení</w:t>
      </w:r>
      <w:r w:rsidRPr="00BA0617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je takový způsob úročení, při kterém se úrok na konci každého úrokovacího období počítá z počátečního kapitálu, tzn., že připisované úroky se dále neúročí. Obvykle je úroková doba (doba splatnosti) menší nebo rovna úrokovacímu období.</w:t>
      </w:r>
    </w:p>
    <w:p w:rsidR="007858C8" w:rsidRDefault="007858C8" w:rsidP="007858C8">
      <w:pPr>
        <w:rPr>
          <w:sz w:val="32"/>
          <w:szCs w:val="32"/>
        </w:rPr>
      </w:pPr>
      <w:r>
        <w:rPr>
          <w:sz w:val="32"/>
          <w:szCs w:val="32"/>
        </w:rPr>
        <w:t>Prakticky si můžeme jednoduché úročení představit tak, že na jednom účtu vedeme vložený kapitál a na jiném účtu úroky, přičemž úroky nepřevádíme na účet jistiny.</w:t>
      </w:r>
    </w:p>
    <w:p w:rsidR="00BA0617" w:rsidRDefault="006A38FD" w:rsidP="00CB134C">
      <w:pPr>
        <w:rPr>
          <w:sz w:val="32"/>
          <w:szCs w:val="32"/>
        </w:rPr>
      </w:pPr>
      <w:r w:rsidRPr="00BA0617">
        <w:rPr>
          <w:sz w:val="32"/>
          <w:szCs w:val="32"/>
          <w:u w:val="single"/>
        </w:rPr>
        <w:t>Úroky</w:t>
      </w:r>
      <w:r>
        <w:rPr>
          <w:sz w:val="32"/>
          <w:szCs w:val="32"/>
        </w:rPr>
        <w:t xml:space="preserve"> v závislosti na čase </w:t>
      </w:r>
      <w:r w:rsidRPr="00BA0617">
        <w:rPr>
          <w:sz w:val="32"/>
          <w:szCs w:val="32"/>
          <w:u w:val="single"/>
        </w:rPr>
        <w:t>rostou lineárně</w:t>
      </w:r>
      <w:r>
        <w:rPr>
          <w:sz w:val="32"/>
          <w:szCs w:val="32"/>
        </w:rPr>
        <w:t xml:space="preserve"> a </w:t>
      </w:r>
      <w:r w:rsidRPr="00BA0617">
        <w:rPr>
          <w:sz w:val="32"/>
          <w:szCs w:val="32"/>
          <w:u w:val="single"/>
        </w:rPr>
        <w:t>vytvářejí aritmetickou posloupnost.</w:t>
      </w:r>
      <w:r>
        <w:rPr>
          <w:sz w:val="32"/>
          <w:szCs w:val="32"/>
        </w:rPr>
        <w:t xml:space="preserve"> </w:t>
      </w:r>
    </w:p>
    <w:p w:rsidR="007858C8" w:rsidRPr="001E49F3" w:rsidRDefault="007858C8" w:rsidP="00CB134C">
      <w:pPr>
        <w:rPr>
          <w:sz w:val="32"/>
          <w:szCs w:val="32"/>
          <w:u w:val="single"/>
        </w:rPr>
      </w:pPr>
    </w:p>
    <w:p w:rsidR="00FF0923" w:rsidRDefault="00FF0923" w:rsidP="00CB134C">
      <w:pPr>
        <w:rPr>
          <w:rFonts w:eastAsiaTheme="minorEastAsia"/>
          <w:sz w:val="32"/>
          <w:szCs w:val="32"/>
        </w:rPr>
      </w:pPr>
      <w:r w:rsidRPr="00FF0923">
        <w:rPr>
          <w:sz w:val="32"/>
          <w:szCs w:val="32"/>
          <w:u w:val="single"/>
        </w:rPr>
        <w:t>Např.</w:t>
      </w:r>
      <w:r>
        <w:rPr>
          <w:sz w:val="32"/>
          <w:szCs w:val="32"/>
        </w:rPr>
        <w:t xml:space="preserve">: počáteční kapitál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=100 000 Kč</m:t>
        </m:r>
      </m:oMath>
      <w:r>
        <w:rPr>
          <w:rFonts w:eastAsiaTheme="minorEastAsia"/>
          <w:sz w:val="32"/>
          <w:szCs w:val="32"/>
        </w:rPr>
        <w:t xml:space="preserve">, roční úroková míra </w:t>
      </w:r>
      <m:oMath>
        <m:r>
          <w:rPr>
            <w:rFonts w:ascii="Cambria Math" w:eastAsiaTheme="minorEastAsia" w:hAnsi="Cambria Math"/>
            <w:sz w:val="32"/>
            <w:szCs w:val="32"/>
          </w:rPr>
          <m:t>p=1%</m:t>
        </m:r>
      </m:oMath>
      <w:r>
        <w:rPr>
          <w:rFonts w:eastAsiaTheme="minorEastAsia"/>
          <w:sz w:val="32"/>
          <w:szCs w:val="32"/>
        </w:rPr>
        <w:t>, peníze uložíme do banky na 5 let, nebudeme počítat s daní z</w:t>
      </w:r>
      <w:r w:rsidR="00A307D6">
        <w:rPr>
          <w:rFonts w:eastAsiaTheme="minorEastAsia"/>
          <w:sz w:val="32"/>
          <w:szCs w:val="32"/>
        </w:rPr>
        <w:t> </w:t>
      </w:r>
      <w:r>
        <w:rPr>
          <w:rFonts w:eastAsiaTheme="minorEastAsia"/>
          <w:sz w:val="32"/>
          <w:szCs w:val="32"/>
        </w:rPr>
        <w:t>úrok</w:t>
      </w:r>
      <w:r w:rsidR="00A307D6">
        <w:rPr>
          <w:rFonts w:eastAsiaTheme="minorEastAsia"/>
          <w:sz w:val="32"/>
          <w:szCs w:val="32"/>
        </w:rPr>
        <w:t xml:space="preserve">ů, volili bychom </w:t>
      </w:r>
      <w:r w:rsidR="00A307D6" w:rsidRPr="001E49F3">
        <w:rPr>
          <w:rFonts w:eastAsiaTheme="minorEastAsia"/>
          <w:b/>
          <w:sz w:val="32"/>
          <w:szCs w:val="32"/>
          <w:u w:val="single"/>
        </w:rPr>
        <w:t>jednoduché úročení</w:t>
      </w:r>
      <w:r w:rsidR="00A307D6">
        <w:rPr>
          <w:rFonts w:eastAsiaTheme="minorEastAsia"/>
          <w:sz w:val="32"/>
          <w:szCs w:val="32"/>
        </w:rPr>
        <w:t xml:space="preserve">; následující tabulka </w:t>
      </w:r>
      <w:r w:rsidR="00243782">
        <w:rPr>
          <w:rFonts w:eastAsiaTheme="minorEastAsia"/>
          <w:sz w:val="32"/>
          <w:szCs w:val="32"/>
        </w:rPr>
        <w:t xml:space="preserve">a graf </w:t>
      </w:r>
      <w:r w:rsidR="00A307D6">
        <w:rPr>
          <w:rFonts w:eastAsiaTheme="minorEastAsia"/>
          <w:sz w:val="32"/>
          <w:szCs w:val="32"/>
        </w:rPr>
        <w:t>zachycuj</w:t>
      </w:r>
      <w:r w:rsidR="00243782">
        <w:rPr>
          <w:rFonts w:eastAsiaTheme="minorEastAsia"/>
          <w:sz w:val="32"/>
          <w:szCs w:val="32"/>
        </w:rPr>
        <w:t>í</w:t>
      </w:r>
      <w:r w:rsidR="00A307D6">
        <w:rPr>
          <w:rFonts w:eastAsiaTheme="minorEastAsia"/>
          <w:sz w:val="32"/>
          <w:szCs w:val="32"/>
        </w:rPr>
        <w:t xml:space="preserve"> výši úroků za jednotlivé roky i celkem: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2235"/>
      </w:tblGrid>
      <w:tr w:rsidR="00C27C7E" w:rsidRPr="006C1496" w:rsidTr="00C27C7E">
        <w:tc>
          <w:tcPr>
            <w:tcW w:w="1134" w:type="dxa"/>
            <w:shd w:val="clear" w:color="auto" w:fill="FFFFFF" w:themeFill="background1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27C7E" w:rsidRPr="006C1496" w:rsidRDefault="00C27C7E" w:rsidP="00C27C7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1. roku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27C7E" w:rsidRPr="006C1496" w:rsidRDefault="00C27C7E" w:rsidP="00C27C7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2. roku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27C7E" w:rsidRPr="006C1496" w:rsidRDefault="00C27C7E" w:rsidP="00C27C7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3. roku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27C7E" w:rsidRPr="006C1496" w:rsidRDefault="00C27C7E" w:rsidP="00C27C7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4. roku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27C7E" w:rsidRPr="006C1496" w:rsidRDefault="00C27C7E" w:rsidP="00C27C7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5. roku</w:t>
            </w:r>
          </w:p>
        </w:tc>
        <w:tc>
          <w:tcPr>
            <w:tcW w:w="2235" w:type="dxa"/>
            <w:shd w:val="clear" w:color="auto" w:fill="FFFFFF" w:themeFill="background1"/>
          </w:tcPr>
          <w:p w:rsidR="00C27C7E" w:rsidRPr="006C1496" w:rsidRDefault="00C27C7E" w:rsidP="00C27C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27C7E" w:rsidRPr="006C1496" w:rsidTr="00C27C7E">
        <w:tc>
          <w:tcPr>
            <w:tcW w:w="1134" w:type="dxa"/>
            <w:shd w:val="clear" w:color="auto" w:fill="FFFFFF" w:themeFill="background1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Úroky získané pouze v daném roce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27C7E" w:rsidRPr="00C27C7E" w:rsidRDefault="00C27C7E" w:rsidP="00C27C7E">
            <w:pPr>
              <w:jc w:val="center"/>
              <w:rPr>
                <w:rFonts w:eastAsiaTheme="minorEastAsia"/>
                <w:b/>
                <w:i/>
                <w:color w:val="7030A0"/>
                <w:sz w:val="24"/>
                <w:szCs w:val="24"/>
              </w:rPr>
            </w:pPr>
            <w:r w:rsidRPr="00C27C7E">
              <w:rPr>
                <w:rFonts w:eastAsiaTheme="minorEastAsia"/>
                <w:b/>
                <w:i/>
                <w:color w:val="7030A0"/>
                <w:sz w:val="24"/>
                <w:szCs w:val="24"/>
              </w:rPr>
              <w:t>aritmetická posloupnost</w:t>
            </w:r>
          </w:p>
        </w:tc>
      </w:tr>
      <w:tr w:rsidR="00C27C7E" w:rsidRPr="006C1496" w:rsidTr="00C27C7E">
        <w:tc>
          <w:tcPr>
            <w:tcW w:w="1134" w:type="dxa"/>
            <w:shd w:val="clear" w:color="auto" w:fill="FFFFFF" w:themeFill="background1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Úroky získané celkem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2000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3000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4000 Kč</w:t>
            </w:r>
          </w:p>
        </w:tc>
        <w:tc>
          <w:tcPr>
            <w:tcW w:w="1134" w:type="dxa"/>
            <w:vAlign w:val="center"/>
          </w:tcPr>
          <w:p w:rsidR="00C27C7E" w:rsidRPr="006C1496" w:rsidRDefault="00C27C7E" w:rsidP="00A307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5000 Kč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27C7E" w:rsidRPr="00C27C7E" w:rsidRDefault="00C27C7E" w:rsidP="00C27C7E">
            <w:pPr>
              <w:jc w:val="center"/>
              <w:rPr>
                <w:rFonts w:eastAsiaTheme="minorEastAsia"/>
                <w:b/>
                <w:i/>
                <w:color w:val="7030A0"/>
                <w:sz w:val="24"/>
                <w:szCs w:val="24"/>
              </w:rPr>
            </w:pPr>
            <w:r w:rsidRPr="00C27C7E">
              <w:rPr>
                <w:rFonts w:eastAsiaTheme="minorEastAsia"/>
                <w:b/>
                <w:i/>
                <w:color w:val="7030A0"/>
                <w:sz w:val="24"/>
                <w:szCs w:val="24"/>
              </w:rPr>
              <w:t>lineární růst</w:t>
            </w:r>
          </w:p>
        </w:tc>
      </w:tr>
    </w:tbl>
    <w:p w:rsidR="00C27C7E" w:rsidRPr="00A307D6" w:rsidRDefault="00C27C7E" w:rsidP="00C27C7E">
      <w:pPr>
        <w:rPr>
          <w:rFonts w:eastAsiaTheme="minorEastAsia"/>
          <w:sz w:val="24"/>
          <w:szCs w:val="24"/>
        </w:rPr>
      </w:pPr>
    </w:p>
    <w:p w:rsidR="00FF0923" w:rsidRDefault="00F717F9" w:rsidP="00CB134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064E42B" wp14:editId="59921472">
            <wp:extent cx="5486400" cy="32004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38FD" w:rsidRDefault="006A38FD" w:rsidP="00CB134C">
      <w:pPr>
        <w:rPr>
          <w:sz w:val="32"/>
          <w:szCs w:val="32"/>
        </w:rPr>
      </w:pPr>
    </w:p>
    <w:p w:rsidR="001E49F3" w:rsidRDefault="001E49F3" w:rsidP="00CB134C">
      <w:pPr>
        <w:rPr>
          <w:sz w:val="32"/>
          <w:szCs w:val="32"/>
        </w:rPr>
      </w:pPr>
    </w:p>
    <w:p w:rsidR="001E49F3" w:rsidRDefault="001E49F3" w:rsidP="00CB134C">
      <w:pPr>
        <w:rPr>
          <w:sz w:val="32"/>
          <w:szCs w:val="32"/>
        </w:rPr>
      </w:pPr>
    </w:p>
    <w:p w:rsidR="006A38FD" w:rsidRDefault="006A38FD" w:rsidP="00CB134C">
      <w:pPr>
        <w:rPr>
          <w:sz w:val="32"/>
          <w:szCs w:val="32"/>
        </w:rPr>
      </w:pPr>
    </w:p>
    <w:p w:rsidR="00BA0617" w:rsidRDefault="006A38FD" w:rsidP="00CB134C">
      <w:pPr>
        <w:rPr>
          <w:sz w:val="32"/>
          <w:szCs w:val="32"/>
        </w:rPr>
      </w:pPr>
      <w:r w:rsidRPr="00BA0617">
        <w:rPr>
          <w:b/>
          <w:color w:val="C00000"/>
          <w:sz w:val="32"/>
          <w:szCs w:val="32"/>
        </w:rPr>
        <w:t>S</w:t>
      </w:r>
      <w:r w:rsidR="00BA0617" w:rsidRPr="00BA0617">
        <w:rPr>
          <w:b/>
          <w:color w:val="C00000"/>
          <w:sz w:val="32"/>
          <w:szCs w:val="32"/>
        </w:rPr>
        <w:t>l</w:t>
      </w:r>
      <w:r w:rsidRPr="00BA0617">
        <w:rPr>
          <w:b/>
          <w:color w:val="C00000"/>
          <w:sz w:val="32"/>
          <w:szCs w:val="32"/>
        </w:rPr>
        <w:t>ožené úročení</w:t>
      </w:r>
      <w:r w:rsidRPr="00BA0617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je takový způsob úročení</w:t>
      </w:r>
      <w:r w:rsidR="00FD5E15">
        <w:rPr>
          <w:sz w:val="32"/>
          <w:szCs w:val="32"/>
        </w:rPr>
        <w:t>, při kte</w:t>
      </w:r>
      <w:r w:rsidR="00BA0617">
        <w:rPr>
          <w:sz w:val="32"/>
          <w:szCs w:val="32"/>
        </w:rPr>
        <w:t>r</w:t>
      </w:r>
      <w:r w:rsidR="00FD5E15">
        <w:rPr>
          <w:sz w:val="32"/>
          <w:szCs w:val="32"/>
        </w:rPr>
        <w:t>ém se úrok na konci každého úrokovacího období přičítá k již dosažené hodnotě kapitálu a spolu s ní se dále úročí. Obvykle je úroková doba (doba splatnosti) větší než úrokovací období.</w:t>
      </w:r>
    </w:p>
    <w:p w:rsidR="006A38FD" w:rsidRDefault="00FD5E15" w:rsidP="00CB134C">
      <w:pPr>
        <w:rPr>
          <w:sz w:val="32"/>
          <w:szCs w:val="32"/>
          <w:u w:val="single"/>
        </w:rPr>
      </w:pPr>
      <w:r w:rsidRPr="00BA0617">
        <w:rPr>
          <w:sz w:val="32"/>
          <w:szCs w:val="32"/>
          <w:u w:val="single"/>
        </w:rPr>
        <w:t>Úroky</w:t>
      </w:r>
      <w:r>
        <w:rPr>
          <w:sz w:val="32"/>
          <w:szCs w:val="32"/>
        </w:rPr>
        <w:t xml:space="preserve"> v závislo</w:t>
      </w:r>
      <w:r w:rsidR="00BA0617">
        <w:rPr>
          <w:sz w:val="32"/>
          <w:szCs w:val="32"/>
        </w:rPr>
        <w:t>s</w:t>
      </w:r>
      <w:r>
        <w:rPr>
          <w:sz w:val="32"/>
          <w:szCs w:val="32"/>
        </w:rPr>
        <w:t>ti na ča</w:t>
      </w:r>
      <w:r w:rsidR="00BA0617">
        <w:rPr>
          <w:sz w:val="32"/>
          <w:szCs w:val="32"/>
        </w:rPr>
        <w:t>s</w:t>
      </w:r>
      <w:r>
        <w:rPr>
          <w:sz w:val="32"/>
          <w:szCs w:val="32"/>
        </w:rPr>
        <w:t xml:space="preserve">e </w:t>
      </w:r>
      <w:r w:rsidRPr="00BA0617">
        <w:rPr>
          <w:sz w:val="32"/>
          <w:szCs w:val="32"/>
          <w:u w:val="single"/>
        </w:rPr>
        <w:t>rostou exponenciál</w:t>
      </w:r>
      <w:r w:rsidR="00BA0617" w:rsidRPr="00BA0617">
        <w:rPr>
          <w:sz w:val="32"/>
          <w:szCs w:val="32"/>
          <w:u w:val="single"/>
        </w:rPr>
        <w:t>n</w:t>
      </w:r>
      <w:r w:rsidRPr="00BA0617">
        <w:rPr>
          <w:sz w:val="32"/>
          <w:szCs w:val="32"/>
          <w:u w:val="single"/>
        </w:rPr>
        <w:t>ě</w:t>
      </w:r>
      <w:r>
        <w:rPr>
          <w:sz w:val="32"/>
          <w:szCs w:val="32"/>
        </w:rPr>
        <w:t xml:space="preserve"> a tvoří </w:t>
      </w:r>
      <w:r w:rsidRPr="00BA0617">
        <w:rPr>
          <w:sz w:val="32"/>
          <w:szCs w:val="32"/>
          <w:u w:val="single"/>
        </w:rPr>
        <w:t xml:space="preserve">geometrickou </w:t>
      </w:r>
      <w:r w:rsidR="00BA0617">
        <w:rPr>
          <w:sz w:val="32"/>
          <w:szCs w:val="32"/>
          <w:u w:val="single"/>
        </w:rPr>
        <w:t>posloupnost</w:t>
      </w:r>
      <w:r w:rsidRPr="00BA0617">
        <w:rPr>
          <w:sz w:val="32"/>
          <w:szCs w:val="32"/>
          <w:u w:val="single"/>
        </w:rPr>
        <w:t>.</w:t>
      </w:r>
    </w:p>
    <w:p w:rsidR="00024569" w:rsidRDefault="00024569" w:rsidP="00CB134C">
      <w:pPr>
        <w:rPr>
          <w:sz w:val="32"/>
          <w:szCs w:val="32"/>
          <w:u w:val="single"/>
        </w:rPr>
      </w:pPr>
    </w:p>
    <w:p w:rsidR="001E49F3" w:rsidRDefault="001E49F3" w:rsidP="001E49F3">
      <w:pPr>
        <w:rPr>
          <w:rFonts w:eastAsiaTheme="minorEastAsia"/>
          <w:sz w:val="32"/>
          <w:szCs w:val="32"/>
        </w:rPr>
      </w:pPr>
      <w:r w:rsidRPr="00FF0923">
        <w:rPr>
          <w:sz w:val="32"/>
          <w:szCs w:val="32"/>
          <w:u w:val="single"/>
        </w:rPr>
        <w:t>Např.</w:t>
      </w:r>
      <w:r>
        <w:rPr>
          <w:sz w:val="32"/>
          <w:szCs w:val="32"/>
        </w:rPr>
        <w:t xml:space="preserve">: počáteční kapitál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=100 000 Kč</m:t>
        </m:r>
      </m:oMath>
      <w:r>
        <w:rPr>
          <w:rFonts w:eastAsiaTheme="minorEastAsia"/>
          <w:sz w:val="32"/>
          <w:szCs w:val="32"/>
        </w:rPr>
        <w:t xml:space="preserve">, roční úroková míra </w:t>
      </w:r>
      <m:oMath>
        <m:r>
          <w:rPr>
            <w:rFonts w:ascii="Cambria Math" w:eastAsiaTheme="minorEastAsia" w:hAnsi="Cambria Math"/>
            <w:sz w:val="32"/>
            <w:szCs w:val="32"/>
          </w:rPr>
          <m:t>p=1%</m:t>
        </m:r>
      </m:oMath>
      <w:r>
        <w:rPr>
          <w:rFonts w:eastAsiaTheme="minorEastAsia"/>
          <w:sz w:val="32"/>
          <w:szCs w:val="32"/>
        </w:rPr>
        <w:t xml:space="preserve">, peníze uložíme do banky na 5 let, nebudeme počítat s daní z úroků, volili bychom </w:t>
      </w:r>
      <w:r w:rsidRPr="001E49F3">
        <w:rPr>
          <w:rFonts w:eastAsiaTheme="minorEastAsia"/>
          <w:b/>
          <w:sz w:val="32"/>
          <w:szCs w:val="32"/>
          <w:u w:val="single"/>
        </w:rPr>
        <w:t>složené úročení</w:t>
      </w:r>
      <w:r>
        <w:rPr>
          <w:rFonts w:eastAsiaTheme="minorEastAsia"/>
          <w:sz w:val="32"/>
          <w:szCs w:val="32"/>
        </w:rPr>
        <w:t>; následující tabulka a graf zachycují výši úroků za jednotlivé roky i celkem (bez zaokrouhlování):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077"/>
        <w:gridCol w:w="1064"/>
        <w:gridCol w:w="1064"/>
        <w:gridCol w:w="1298"/>
        <w:gridCol w:w="1648"/>
        <w:gridCol w:w="1754"/>
        <w:gridCol w:w="1701"/>
      </w:tblGrid>
      <w:tr w:rsidR="001E49F3" w:rsidRPr="006C1496" w:rsidTr="00BA42B7">
        <w:tc>
          <w:tcPr>
            <w:tcW w:w="1077" w:type="dxa"/>
            <w:shd w:val="clear" w:color="auto" w:fill="FFFFFF" w:themeFill="background1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00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1. roku</w:t>
            </w:r>
          </w:p>
        </w:tc>
        <w:tc>
          <w:tcPr>
            <w:tcW w:w="1064" w:type="dxa"/>
            <w:shd w:val="clear" w:color="auto" w:fill="FFFF00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 2. roku</w:t>
            </w:r>
          </w:p>
        </w:tc>
        <w:tc>
          <w:tcPr>
            <w:tcW w:w="1298" w:type="dxa"/>
            <w:shd w:val="clear" w:color="auto" w:fill="FFFF00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</w:t>
            </w:r>
            <w:r w:rsidR="00BA42B7">
              <w:rPr>
                <w:rFonts w:eastAsiaTheme="minorEastAsia"/>
                <w:sz w:val="24"/>
                <w:szCs w:val="24"/>
              </w:rPr>
              <w:t xml:space="preserve">  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3. roku</w:t>
            </w:r>
          </w:p>
        </w:tc>
        <w:tc>
          <w:tcPr>
            <w:tcW w:w="1648" w:type="dxa"/>
            <w:shd w:val="clear" w:color="auto" w:fill="FFFF00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>a konci</w:t>
            </w:r>
            <w:r w:rsidR="00BA42B7">
              <w:rPr>
                <w:rFonts w:eastAsiaTheme="minorEastAsia"/>
                <w:sz w:val="24"/>
                <w:szCs w:val="24"/>
              </w:rPr>
              <w:t xml:space="preserve">         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4. roku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1E49F3" w:rsidRPr="006C1496" w:rsidRDefault="001E49F3" w:rsidP="00BA42B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a konci </w:t>
            </w:r>
            <w:r w:rsidR="00BA42B7">
              <w:rPr>
                <w:rFonts w:eastAsiaTheme="minorEastAsia"/>
                <w:sz w:val="24"/>
                <w:szCs w:val="24"/>
              </w:rPr>
              <w:t xml:space="preserve">         </w:t>
            </w:r>
            <w:r w:rsidRPr="006C1496">
              <w:rPr>
                <w:rFonts w:eastAsiaTheme="minorEastAsia"/>
                <w:sz w:val="24"/>
                <w:szCs w:val="24"/>
              </w:rPr>
              <w:t>5</w:t>
            </w:r>
            <w:r w:rsidR="00BA42B7">
              <w:rPr>
                <w:rFonts w:eastAsiaTheme="minorEastAsia"/>
                <w:sz w:val="24"/>
                <w:szCs w:val="24"/>
              </w:rPr>
              <w:t xml:space="preserve">. </w:t>
            </w:r>
            <w:r w:rsidRPr="006C1496">
              <w:rPr>
                <w:rFonts w:eastAsiaTheme="minorEastAsia"/>
                <w:sz w:val="24"/>
                <w:szCs w:val="24"/>
              </w:rPr>
              <w:t>roku</w:t>
            </w:r>
          </w:p>
        </w:tc>
        <w:tc>
          <w:tcPr>
            <w:tcW w:w="1701" w:type="dxa"/>
            <w:shd w:val="clear" w:color="auto" w:fill="FFFFFF" w:themeFill="background1"/>
          </w:tcPr>
          <w:p w:rsidR="001E49F3" w:rsidRPr="006C1496" w:rsidRDefault="001E49F3" w:rsidP="00C73BF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E49F3" w:rsidRPr="006C1496" w:rsidTr="00BA42B7">
        <w:tc>
          <w:tcPr>
            <w:tcW w:w="1077" w:type="dxa"/>
            <w:shd w:val="clear" w:color="auto" w:fill="FFFFFF" w:themeFill="background1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Úroky získané pouze v daném roce</w:t>
            </w:r>
          </w:p>
        </w:tc>
        <w:tc>
          <w:tcPr>
            <w:tcW w:w="1064" w:type="dxa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064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1010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298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1020,1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648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1030,301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1040,60401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49F3" w:rsidRPr="00C27C7E" w:rsidRDefault="001E49F3" w:rsidP="001E49F3">
            <w:pPr>
              <w:jc w:val="center"/>
              <w:rPr>
                <w:rFonts w:eastAsiaTheme="minorEastAsia"/>
                <w:b/>
                <w:i/>
                <w:color w:val="7030A0"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color w:val="7030A0"/>
                <w:sz w:val="24"/>
                <w:szCs w:val="24"/>
              </w:rPr>
              <w:t>geometrická</w:t>
            </w:r>
            <w:r w:rsidRPr="00C27C7E">
              <w:rPr>
                <w:rFonts w:eastAsiaTheme="minorEastAsia"/>
                <w:b/>
                <w:i/>
                <w:color w:val="7030A0"/>
                <w:sz w:val="24"/>
                <w:szCs w:val="24"/>
              </w:rPr>
              <w:t xml:space="preserve"> posloupnost</w:t>
            </w:r>
          </w:p>
        </w:tc>
      </w:tr>
      <w:tr w:rsidR="001E49F3" w:rsidRPr="006C1496" w:rsidTr="00BA42B7">
        <w:tc>
          <w:tcPr>
            <w:tcW w:w="1077" w:type="dxa"/>
            <w:shd w:val="clear" w:color="auto" w:fill="FFFFFF" w:themeFill="background1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Úroky získané celkem</w:t>
            </w:r>
          </w:p>
        </w:tc>
        <w:tc>
          <w:tcPr>
            <w:tcW w:w="1064" w:type="dxa"/>
            <w:vAlign w:val="center"/>
          </w:tcPr>
          <w:p w:rsidR="001E49F3" w:rsidRPr="006C1496" w:rsidRDefault="001E49F3" w:rsidP="00C73B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C1496">
              <w:rPr>
                <w:rFonts w:eastAsiaTheme="minorEastAsia"/>
                <w:sz w:val="24"/>
                <w:szCs w:val="24"/>
              </w:rPr>
              <w:t>1000 Kč</w:t>
            </w:r>
          </w:p>
        </w:tc>
        <w:tc>
          <w:tcPr>
            <w:tcW w:w="1064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2010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298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3030,1</w:t>
            </w:r>
            <w:r w:rsidRPr="006C1496">
              <w:rPr>
                <w:rFonts w:eastAsiaTheme="minorEastAsia"/>
                <w:sz w:val="24"/>
                <w:szCs w:val="24"/>
              </w:rPr>
              <w:t>Kč</w:t>
            </w:r>
          </w:p>
        </w:tc>
        <w:tc>
          <w:tcPr>
            <w:tcW w:w="1648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4060,401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vAlign w:val="center"/>
          </w:tcPr>
          <w:p w:rsidR="001E49F3" w:rsidRPr="006C1496" w:rsidRDefault="001E49F3" w:rsidP="001E49F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5101,00501</w:t>
            </w:r>
            <w:r w:rsidRPr="006C1496">
              <w:rPr>
                <w:rFonts w:eastAsiaTheme="minorEastAsia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49F3" w:rsidRPr="00C27C7E" w:rsidRDefault="001E49F3" w:rsidP="001E49F3">
            <w:pPr>
              <w:jc w:val="center"/>
              <w:rPr>
                <w:rFonts w:eastAsiaTheme="minorEastAsia"/>
                <w:b/>
                <w:i/>
                <w:color w:val="7030A0"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color w:val="7030A0"/>
                <w:sz w:val="24"/>
                <w:szCs w:val="24"/>
              </w:rPr>
              <w:t>exponenciální</w:t>
            </w:r>
            <w:r w:rsidRPr="00C27C7E">
              <w:rPr>
                <w:rFonts w:eastAsiaTheme="minorEastAsia"/>
                <w:b/>
                <w:i/>
                <w:color w:val="7030A0"/>
                <w:sz w:val="24"/>
                <w:szCs w:val="24"/>
              </w:rPr>
              <w:t xml:space="preserve"> růst</w:t>
            </w:r>
          </w:p>
        </w:tc>
      </w:tr>
    </w:tbl>
    <w:p w:rsidR="001E49F3" w:rsidRDefault="001E49F3" w:rsidP="001E49F3">
      <w:pPr>
        <w:rPr>
          <w:rFonts w:eastAsiaTheme="minorEastAsia"/>
          <w:sz w:val="24"/>
          <w:szCs w:val="24"/>
        </w:rPr>
      </w:pPr>
    </w:p>
    <w:p w:rsidR="00284767" w:rsidRPr="00A307D6" w:rsidRDefault="00284767" w:rsidP="001E49F3">
      <w:pPr>
        <w:rPr>
          <w:rFonts w:eastAsiaTheme="minorEastAsia"/>
          <w:sz w:val="24"/>
          <w:szCs w:val="24"/>
        </w:rPr>
      </w:pPr>
    </w:p>
    <w:p w:rsidR="001E49F3" w:rsidRDefault="00A6145D" w:rsidP="001E49F3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w:drawing>
          <wp:inline distT="0" distB="0" distL="0" distR="0" wp14:anchorId="62B3258A" wp14:editId="0DB3FD3F">
            <wp:extent cx="5486400" cy="32004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145D" w:rsidRDefault="00A6145D" w:rsidP="001E49F3">
      <w:pPr>
        <w:rPr>
          <w:rFonts w:eastAsiaTheme="minorEastAsia"/>
          <w:sz w:val="32"/>
          <w:szCs w:val="32"/>
        </w:rPr>
      </w:pPr>
    </w:p>
    <w:p w:rsidR="00284767" w:rsidRDefault="00284767" w:rsidP="001E49F3">
      <w:pPr>
        <w:rPr>
          <w:rFonts w:eastAsiaTheme="minorEastAsia"/>
          <w:sz w:val="32"/>
          <w:szCs w:val="32"/>
        </w:rPr>
      </w:pPr>
    </w:p>
    <w:p w:rsidR="00024569" w:rsidRDefault="00024569" w:rsidP="00CB134C">
      <w:pPr>
        <w:rPr>
          <w:sz w:val="32"/>
          <w:szCs w:val="32"/>
          <w:u w:val="single"/>
        </w:rPr>
      </w:pPr>
    </w:p>
    <w:p w:rsidR="00024569" w:rsidRDefault="00024569" w:rsidP="00CB134C">
      <w:pPr>
        <w:rPr>
          <w:sz w:val="32"/>
          <w:szCs w:val="32"/>
        </w:rPr>
      </w:pPr>
      <w:r w:rsidRPr="00024569">
        <w:rPr>
          <w:b/>
          <w:color w:val="C00000"/>
          <w:sz w:val="32"/>
          <w:szCs w:val="32"/>
        </w:rPr>
        <w:t>Smíšené úročení</w:t>
      </w:r>
      <w:r w:rsidRPr="00024569">
        <w:rPr>
          <w:color w:val="C00000"/>
          <w:sz w:val="32"/>
          <w:szCs w:val="32"/>
        </w:rPr>
        <w:t xml:space="preserve"> </w:t>
      </w:r>
      <w:r w:rsidRPr="00024569">
        <w:rPr>
          <w:sz w:val="32"/>
          <w:szCs w:val="32"/>
        </w:rPr>
        <w:t>je kombinace jednoduchého úročení a složeného úročení, kdy se pro celé časové jednotky (např. roky, čtvrtletí, měsíce) používá složené úročení a pro necelé části pak jednoduché úroč</w:t>
      </w:r>
      <w:r>
        <w:rPr>
          <w:sz w:val="32"/>
          <w:szCs w:val="32"/>
        </w:rPr>
        <w:t>e</w:t>
      </w:r>
      <w:r w:rsidRPr="00024569">
        <w:rPr>
          <w:sz w:val="32"/>
          <w:szCs w:val="32"/>
        </w:rPr>
        <w:t>ní.</w:t>
      </w:r>
    </w:p>
    <w:p w:rsidR="00FC0A8B" w:rsidRDefault="00FC0A8B" w:rsidP="00CB134C">
      <w:pPr>
        <w:rPr>
          <w:sz w:val="32"/>
          <w:szCs w:val="32"/>
        </w:rPr>
      </w:pPr>
    </w:p>
    <w:p w:rsidR="00FC0A8B" w:rsidRDefault="00FC0A8B" w:rsidP="00CB134C">
      <w:pPr>
        <w:rPr>
          <w:sz w:val="32"/>
          <w:szCs w:val="32"/>
        </w:rPr>
      </w:pPr>
    </w:p>
    <w:p w:rsidR="00FC0A8B" w:rsidRDefault="00FC0A8B" w:rsidP="00CB13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Jednoduché úročení předlhůtní je takové úročení, kdy úrok je placen na začátku úrokovacího období. Takový úrok se nazývá </w:t>
      </w:r>
      <w:r w:rsidRPr="00FC0A8B">
        <w:rPr>
          <w:b/>
          <w:color w:val="C00000"/>
          <w:sz w:val="32"/>
          <w:szCs w:val="32"/>
        </w:rPr>
        <w:t>diskont</w:t>
      </w:r>
      <w:r>
        <w:rPr>
          <w:sz w:val="32"/>
          <w:szCs w:val="32"/>
        </w:rPr>
        <w:t xml:space="preserve"> a vztahuje se ke splatné částce, tj. k částce, kterou vyplácí dlužník věřiteli na konci úrokové doby.</w:t>
      </w:r>
    </w:p>
    <w:p w:rsidR="00FC0A8B" w:rsidRDefault="00FC0A8B" w:rsidP="00CB134C">
      <w:pPr>
        <w:rPr>
          <w:sz w:val="32"/>
          <w:szCs w:val="32"/>
        </w:rPr>
      </w:pPr>
    </w:p>
    <w:p w:rsidR="00FC0A8B" w:rsidRDefault="00FC0A8B" w:rsidP="00CB134C">
      <w:pPr>
        <w:rPr>
          <w:sz w:val="32"/>
          <w:szCs w:val="32"/>
        </w:rPr>
      </w:pPr>
    </w:p>
    <w:p w:rsidR="00FC0A8B" w:rsidRDefault="00FC0A8B" w:rsidP="00CB134C">
      <w:pPr>
        <w:rPr>
          <w:sz w:val="32"/>
          <w:szCs w:val="32"/>
        </w:rPr>
      </w:pPr>
      <w:r>
        <w:rPr>
          <w:sz w:val="32"/>
          <w:szCs w:val="32"/>
        </w:rPr>
        <w:t>Složené úročení předlhůtní nemá v praxi využití.</w:t>
      </w:r>
    </w:p>
    <w:p w:rsidR="008E5D1D" w:rsidRDefault="008E5D1D" w:rsidP="00CB134C">
      <w:pPr>
        <w:rPr>
          <w:sz w:val="32"/>
          <w:szCs w:val="32"/>
        </w:rPr>
      </w:pPr>
    </w:p>
    <w:p w:rsidR="008E5D1D" w:rsidRDefault="008E5D1D" w:rsidP="00CB134C">
      <w:pPr>
        <w:rPr>
          <w:sz w:val="32"/>
          <w:szCs w:val="32"/>
        </w:rPr>
      </w:pPr>
    </w:p>
    <w:p w:rsidR="008E5D1D" w:rsidRDefault="008E5D1D" w:rsidP="00CB134C">
      <w:pPr>
        <w:rPr>
          <w:sz w:val="32"/>
          <w:szCs w:val="32"/>
        </w:rPr>
      </w:pPr>
    </w:p>
    <w:p w:rsidR="008E5D1D" w:rsidRDefault="008E5D1D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8E5D1D" w:rsidRDefault="008E5D1D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E9150A" w:rsidRDefault="00E9150A" w:rsidP="00CB134C">
      <w:pPr>
        <w:rPr>
          <w:sz w:val="32"/>
          <w:szCs w:val="32"/>
        </w:rPr>
      </w:pPr>
    </w:p>
    <w:p w:rsidR="00773C79" w:rsidRPr="00E9150A" w:rsidRDefault="00773C79" w:rsidP="00CB134C">
      <w:pPr>
        <w:rPr>
          <w:sz w:val="32"/>
          <w:szCs w:val="32"/>
        </w:rPr>
      </w:pPr>
      <w:bookmarkStart w:id="0" w:name="_GoBack"/>
      <w:bookmarkEnd w:id="0"/>
      <w:r w:rsidRPr="00E9150A">
        <w:rPr>
          <w:sz w:val="32"/>
          <w:szCs w:val="32"/>
          <w:u w:val="double"/>
        </w:rPr>
        <w:lastRenderedPageBreak/>
        <w:t>Použité zdroje</w:t>
      </w:r>
      <w:r w:rsidRPr="00E9150A">
        <w:rPr>
          <w:sz w:val="32"/>
          <w:szCs w:val="32"/>
        </w:rPr>
        <w:t>:</w:t>
      </w:r>
    </w:p>
    <w:p w:rsidR="00773C79" w:rsidRPr="00E9150A" w:rsidRDefault="00773C79" w:rsidP="00CB134C">
      <w:pPr>
        <w:rPr>
          <w:sz w:val="32"/>
          <w:szCs w:val="32"/>
          <w:u w:val="single"/>
        </w:rPr>
      </w:pPr>
      <w:r w:rsidRPr="00E9150A">
        <w:rPr>
          <w:sz w:val="32"/>
          <w:szCs w:val="32"/>
          <w:u w:val="single"/>
        </w:rPr>
        <w:t>Literatura:</w:t>
      </w:r>
    </w:p>
    <w:p w:rsidR="00773C79" w:rsidRPr="00E9150A" w:rsidRDefault="00773C79" w:rsidP="00E9150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150A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773C79" w:rsidRPr="00E9150A" w:rsidRDefault="00773C79" w:rsidP="00CB134C">
      <w:pPr>
        <w:rPr>
          <w:sz w:val="32"/>
          <w:szCs w:val="32"/>
          <w:u w:val="single"/>
        </w:rPr>
      </w:pPr>
      <w:r w:rsidRPr="00E9150A">
        <w:rPr>
          <w:sz w:val="32"/>
          <w:szCs w:val="32"/>
          <w:u w:val="single"/>
        </w:rPr>
        <w:t>Internet:</w:t>
      </w:r>
    </w:p>
    <w:p w:rsidR="00773C79" w:rsidRPr="00E9150A" w:rsidRDefault="00773C79" w:rsidP="00E9150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150A">
        <w:rPr>
          <w:sz w:val="32"/>
          <w:szCs w:val="32"/>
        </w:rPr>
        <w:t>Bohanesová, Eva. Finanční matematika I.[online]. [cit. 3.</w:t>
      </w:r>
      <w:r w:rsidR="00496EFD" w:rsidRPr="00E9150A">
        <w:rPr>
          <w:sz w:val="32"/>
          <w:szCs w:val="32"/>
        </w:rPr>
        <w:t> </w:t>
      </w:r>
      <w:r w:rsidRPr="00E9150A">
        <w:rPr>
          <w:sz w:val="32"/>
          <w:szCs w:val="32"/>
        </w:rPr>
        <w:t>1.</w:t>
      </w:r>
      <w:r w:rsidR="00496EFD" w:rsidRPr="00E9150A">
        <w:rPr>
          <w:sz w:val="32"/>
          <w:szCs w:val="32"/>
        </w:rPr>
        <w:t> </w:t>
      </w:r>
      <w:r w:rsidRPr="00E9150A">
        <w:rPr>
          <w:sz w:val="32"/>
          <w:szCs w:val="32"/>
        </w:rPr>
        <w:t xml:space="preserve">2014]. Dostupné z: </w:t>
      </w:r>
      <w:hyperlink r:id="rId11" w:history="1">
        <w:r w:rsidR="005578D4" w:rsidRPr="00E9150A">
          <w:rPr>
            <w:rStyle w:val="Hypertextovodkaz"/>
            <w:sz w:val="32"/>
            <w:szCs w:val="32"/>
          </w:rPr>
          <w:t>http://www.upol.cz/fileadmin/user_upload/knihovna/Skripta_FF/finonlinean.pdf</w:t>
        </w:r>
      </w:hyperlink>
    </w:p>
    <w:p w:rsidR="00773C79" w:rsidRPr="00E9150A" w:rsidRDefault="00773C79" w:rsidP="00E9150A">
      <w:pPr>
        <w:pStyle w:val="Odstavecseseznamem"/>
        <w:numPr>
          <w:ilvl w:val="0"/>
          <w:numId w:val="1"/>
        </w:numPr>
        <w:rPr>
          <w:rStyle w:val="Hypertextovodkaz"/>
          <w:sz w:val="32"/>
          <w:szCs w:val="32"/>
        </w:rPr>
      </w:pPr>
      <w:r w:rsidRPr="00E9150A">
        <w:rPr>
          <w:sz w:val="32"/>
          <w:szCs w:val="32"/>
        </w:rPr>
        <w:t>Šoba, O., Ptáček, R., Toman, P. Finanční matematika. [online]. [cit. 6.</w:t>
      </w:r>
      <w:r w:rsidR="00496EFD" w:rsidRPr="00E9150A">
        <w:rPr>
          <w:sz w:val="32"/>
          <w:szCs w:val="32"/>
        </w:rPr>
        <w:t> </w:t>
      </w:r>
      <w:r w:rsidRPr="00E9150A">
        <w:rPr>
          <w:sz w:val="32"/>
          <w:szCs w:val="32"/>
        </w:rPr>
        <w:t>1</w:t>
      </w:r>
      <w:r w:rsidR="00496EFD" w:rsidRPr="00E9150A">
        <w:rPr>
          <w:sz w:val="32"/>
          <w:szCs w:val="32"/>
        </w:rPr>
        <w:t>. </w:t>
      </w:r>
      <w:r w:rsidRPr="00E9150A">
        <w:rPr>
          <w:sz w:val="32"/>
          <w:szCs w:val="32"/>
        </w:rPr>
        <w:t xml:space="preserve">2014]. Dostupné z: </w:t>
      </w:r>
      <w:hyperlink r:id="rId12" w:history="1">
        <w:r w:rsidRPr="00E9150A">
          <w:rPr>
            <w:rStyle w:val="Hypertextovodkaz"/>
            <w:sz w:val="32"/>
            <w:szCs w:val="32"/>
          </w:rPr>
          <w:t>http://is.mendelu.cz/eknihovna/opory/index.pl?opora=122</w:t>
        </w:r>
      </w:hyperlink>
    </w:p>
    <w:p w:rsidR="005578D4" w:rsidRPr="00E9150A" w:rsidRDefault="005578D4" w:rsidP="00E9150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150A">
        <w:rPr>
          <w:sz w:val="32"/>
          <w:szCs w:val="32"/>
        </w:rPr>
        <w:t xml:space="preserve">Urok a diskont.pdf. [online]. [cit. 6. 1. 2014]. Dostupné z: </w:t>
      </w:r>
      <w:hyperlink r:id="rId13" w:history="1">
        <w:r w:rsidRPr="00E9150A">
          <w:rPr>
            <w:rStyle w:val="Hypertextovodkaz"/>
            <w:sz w:val="32"/>
            <w:szCs w:val="32"/>
          </w:rPr>
          <w:t>home.zcu.cz/~patrke/WWW_KMA/FIPM/FIPM01-02-Urok a diskont.pdf</w:t>
        </w:r>
      </w:hyperlink>
    </w:p>
    <w:p w:rsidR="00642981" w:rsidRPr="00E9150A" w:rsidRDefault="00642981" w:rsidP="00E9150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150A">
        <w:rPr>
          <w:sz w:val="32"/>
          <w:szCs w:val="32"/>
        </w:rPr>
        <w:t xml:space="preserve">Vachtová, Jitka. Finanční matematika nejen pro studenty. [online]. [cit. 6. 1. 2014]. Dostupné z: </w:t>
      </w:r>
      <w:hyperlink r:id="rId14" w:history="1">
        <w:r w:rsidRPr="00E9150A">
          <w:rPr>
            <w:rStyle w:val="Hypertextovodkaz"/>
            <w:sz w:val="32"/>
            <w:szCs w:val="32"/>
          </w:rPr>
          <w:t>http://www.financni-matematika.cz/</w:t>
        </w:r>
      </w:hyperlink>
    </w:p>
    <w:p w:rsidR="005578D4" w:rsidRPr="00E9150A" w:rsidRDefault="005578D4" w:rsidP="00773C79">
      <w:pPr>
        <w:rPr>
          <w:sz w:val="32"/>
          <w:szCs w:val="32"/>
        </w:rPr>
      </w:pPr>
    </w:p>
    <w:p w:rsidR="00773C79" w:rsidRPr="00024569" w:rsidRDefault="00773C79" w:rsidP="00CB134C">
      <w:pPr>
        <w:rPr>
          <w:sz w:val="32"/>
          <w:szCs w:val="32"/>
        </w:rPr>
      </w:pPr>
    </w:p>
    <w:sectPr w:rsidR="00773C79" w:rsidRPr="0002456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33" w:rsidRDefault="00F16233" w:rsidP="00CB134C">
      <w:pPr>
        <w:spacing w:after="0" w:line="240" w:lineRule="auto"/>
      </w:pPr>
      <w:r>
        <w:separator/>
      </w:r>
    </w:p>
  </w:endnote>
  <w:endnote w:type="continuationSeparator" w:id="0">
    <w:p w:rsidR="00F16233" w:rsidRDefault="00F16233" w:rsidP="00CB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28224"/>
      <w:docPartObj>
        <w:docPartGallery w:val="Page Numbers (Bottom of Page)"/>
        <w:docPartUnique/>
      </w:docPartObj>
    </w:sdtPr>
    <w:sdtEndPr/>
    <w:sdtContent>
      <w:p w:rsidR="00CB134C" w:rsidRDefault="00CB13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E6">
          <w:rPr>
            <w:noProof/>
          </w:rPr>
          <w:t>1</w:t>
        </w:r>
        <w:r>
          <w:fldChar w:fldCharType="end"/>
        </w:r>
      </w:p>
    </w:sdtContent>
  </w:sdt>
  <w:p w:rsidR="00CB134C" w:rsidRDefault="00CB13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33" w:rsidRDefault="00F16233" w:rsidP="00CB134C">
      <w:pPr>
        <w:spacing w:after="0" w:line="240" w:lineRule="auto"/>
      </w:pPr>
      <w:r>
        <w:separator/>
      </w:r>
    </w:p>
  </w:footnote>
  <w:footnote w:type="continuationSeparator" w:id="0">
    <w:p w:rsidR="00F16233" w:rsidRDefault="00F16233" w:rsidP="00CB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4C" w:rsidRPr="00CB134C" w:rsidRDefault="00CB134C" w:rsidP="00CB134C">
    <w:pPr>
      <w:pStyle w:val="Zhlav"/>
      <w:jc w:val="right"/>
      <w:rPr>
        <w:i/>
      </w:rPr>
    </w:pPr>
    <w:r w:rsidRPr="00CB134C">
      <w:rPr>
        <w:i/>
      </w:rPr>
      <w:t>Finanční matematika – pojmy a značení 3</w:t>
    </w:r>
  </w:p>
  <w:p w:rsidR="00CB134C" w:rsidRDefault="00CB13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144"/>
    <w:multiLevelType w:val="hybridMultilevel"/>
    <w:tmpl w:val="6DF4B91E"/>
    <w:lvl w:ilvl="0" w:tplc="284EA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4C"/>
    <w:rsid w:val="00024569"/>
    <w:rsid w:val="001E49F3"/>
    <w:rsid w:val="00243782"/>
    <w:rsid w:val="00284767"/>
    <w:rsid w:val="002F5608"/>
    <w:rsid w:val="00416847"/>
    <w:rsid w:val="00496EFD"/>
    <w:rsid w:val="005578D4"/>
    <w:rsid w:val="00642981"/>
    <w:rsid w:val="006A38FD"/>
    <w:rsid w:val="006C1496"/>
    <w:rsid w:val="00773C79"/>
    <w:rsid w:val="007858C8"/>
    <w:rsid w:val="0081647A"/>
    <w:rsid w:val="008E5D1D"/>
    <w:rsid w:val="009B1CDC"/>
    <w:rsid w:val="00A307D6"/>
    <w:rsid w:val="00A5782E"/>
    <w:rsid w:val="00A6145D"/>
    <w:rsid w:val="00AF633C"/>
    <w:rsid w:val="00B04228"/>
    <w:rsid w:val="00B90467"/>
    <w:rsid w:val="00BA0617"/>
    <w:rsid w:val="00BA42B7"/>
    <w:rsid w:val="00C17E6F"/>
    <w:rsid w:val="00C27C7E"/>
    <w:rsid w:val="00CB134C"/>
    <w:rsid w:val="00D90487"/>
    <w:rsid w:val="00E9150A"/>
    <w:rsid w:val="00F001E9"/>
    <w:rsid w:val="00F01870"/>
    <w:rsid w:val="00F16233"/>
    <w:rsid w:val="00F717F9"/>
    <w:rsid w:val="00FC0A8B"/>
    <w:rsid w:val="00FC3BE6"/>
    <w:rsid w:val="00FD5E1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34C"/>
  </w:style>
  <w:style w:type="paragraph" w:styleId="Zpat">
    <w:name w:val="footer"/>
    <w:basedOn w:val="Normln"/>
    <w:link w:val="ZpatChar"/>
    <w:uiPriority w:val="99"/>
    <w:unhideWhenUsed/>
    <w:rsid w:val="00C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34C"/>
  </w:style>
  <w:style w:type="paragraph" w:styleId="Textbubliny">
    <w:name w:val="Balloon Text"/>
    <w:basedOn w:val="Normln"/>
    <w:link w:val="TextbublinyChar"/>
    <w:uiPriority w:val="99"/>
    <w:semiHidden/>
    <w:unhideWhenUsed/>
    <w:rsid w:val="00CB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34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F0923"/>
    <w:rPr>
      <w:color w:val="808080"/>
    </w:rPr>
  </w:style>
  <w:style w:type="table" w:styleId="Mkatabulky">
    <w:name w:val="Table Grid"/>
    <w:basedOn w:val="Normlntabulka"/>
    <w:uiPriority w:val="59"/>
    <w:rsid w:val="00A3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73C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34C"/>
  </w:style>
  <w:style w:type="paragraph" w:styleId="Zpat">
    <w:name w:val="footer"/>
    <w:basedOn w:val="Normln"/>
    <w:link w:val="ZpatChar"/>
    <w:uiPriority w:val="99"/>
    <w:unhideWhenUsed/>
    <w:rsid w:val="00C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34C"/>
  </w:style>
  <w:style w:type="paragraph" w:styleId="Textbubliny">
    <w:name w:val="Balloon Text"/>
    <w:basedOn w:val="Normln"/>
    <w:link w:val="TextbublinyChar"/>
    <w:uiPriority w:val="99"/>
    <w:semiHidden/>
    <w:unhideWhenUsed/>
    <w:rsid w:val="00CB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34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F0923"/>
    <w:rPr>
      <w:color w:val="808080"/>
    </w:rPr>
  </w:style>
  <w:style w:type="table" w:styleId="Mkatabulky">
    <w:name w:val="Table Grid"/>
    <w:basedOn w:val="Normlntabulka"/>
    <w:uiPriority w:val="59"/>
    <w:rsid w:val="00A3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73C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home.zcu.cz/~patrke/WWW_KMA/FIPM/FIPM01-02-Urok%20a%20diskon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.mendelu.cz/eknihovna/opory/index.pl?opora=1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l.cz/fileadmin/user_upload/knihovna/Skripta_FF/finonlinea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financni-matematika.cz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0" baseline="0"/>
            </a:pPr>
            <a:r>
              <a:rPr lang="cs-CZ" b="0" i="0" baseline="0"/>
              <a:t>Nárůst úroků - jednoduché úročení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List1!$A$2:$A$6</c:f>
              <c:strCache>
                <c:ptCount val="5"/>
                <c:pt idx="0">
                  <c:v>1. rok</c:v>
                </c:pt>
                <c:pt idx="1">
                  <c:v>2. rok</c:v>
                </c:pt>
                <c:pt idx="2">
                  <c:v>3. rok</c:v>
                </c:pt>
                <c:pt idx="3">
                  <c:v>4. rok</c:v>
                </c:pt>
                <c:pt idx="4">
                  <c:v>5. rok</c:v>
                </c:pt>
              </c:strCache>
            </c:strRef>
          </c:cat>
          <c:val>
            <c:numRef>
              <c:f>List1!$B$2:$B$6</c:f>
              <c:numCache>
                <c:formatCode>"Kč"#,##0_);[Red]\("Kč"#,##0\)</c:formatCode>
                <c:ptCount val="5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85024"/>
        <c:axId val="91986560"/>
      </c:lineChart>
      <c:catAx>
        <c:axId val="91985024"/>
        <c:scaling>
          <c:orientation val="minMax"/>
        </c:scaling>
        <c:delete val="0"/>
        <c:axPos val="b"/>
        <c:minorGridlines/>
        <c:majorTickMark val="out"/>
        <c:minorTickMark val="in"/>
        <c:tickLblPos val="nextTo"/>
        <c:crossAx val="91986560"/>
        <c:crosses val="autoZero"/>
        <c:auto val="1"/>
        <c:lblAlgn val="ctr"/>
        <c:lblOffset val="100"/>
        <c:noMultiLvlLbl val="0"/>
      </c:catAx>
      <c:valAx>
        <c:axId val="91986560"/>
        <c:scaling>
          <c:orientation val="minMax"/>
        </c:scaling>
        <c:delete val="0"/>
        <c:axPos val="l"/>
        <c:majorGridlines/>
        <c:numFmt formatCode="&quot;Kč&quot;#,##0_);[Red]\(&quot;Kč&quot;#,##0\)" sourceLinked="1"/>
        <c:majorTickMark val="out"/>
        <c:minorTickMark val="none"/>
        <c:tickLblPos val="nextTo"/>
        <c:crossAx val="9198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800" b="0"/>
              <a:t>Nárůst úroků - složené úročení</a:t>
            </a:r>
            <a:endParaRPr lang="en-US" sz="1800" b="0"/>
          </a:p>
        </c:rich>
      </c:tx>
      <c:layout>
        <c:manualLayout>
          <c:xMode val="edge"/>
          <c:yMode val="edge"/>
          <c:x val="0.23206018518518517"/>
          <c:y val="2.3809523809523808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dLbls>
            <c:numFmt formatCode="#,##0.00\ &quot;Kč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List1!$A$2:$A$6</c:f>
              <c:strCache>
                <c:ptCount val="5"/>
                <c:pt idx="0">
                  <c:v>1. rok</c:v>
                </c:pt>
                <c:pt idx="1">
                  <c:v>2. rok</c:v>
                </c:pt>
                <c:pt idx="2">
                  <c:v>3. rok</c:v>
                </c:pt>
                <c:pt idx="3">
                  <c:v>4. rok</c:v>
                </c:pt>
                <c:pt idx="4">
                  <c:v>5. rok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1000</c:v>
                </c:pt>
                <c:pt idx="1">
                  <c:v>2010</c:v>
                </c:pt>
                <c:pt idx="2">
                  <c:v>3030.1</c:v>
                </c:pt>
                <c:pt idx="3">
                  <c:v>4060.4009999999998</c:v>
                </c:pt>
                <c:pt idx="4">
                  <c:v>5101.0050099999999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List1!$A$2:$A$6</c:f>
              <c:strCache>
                <c:ptCount val="5"/>
                <c:pt idx="0">
                  <c:v>1. rok</c:v>
                </c:pt>
                <c:pt idx="1">
                  <c:v>2. rok</c:v>
                </c:pt>
                <c:pt idx="2">
                  <c:v>3. rok</c:v>
                </c:pt>
                <c:pt idx="3">
                  <c:v>4. rok</c:v>
                </c:pt>
                <c:pt idx="4">
                  <c:v>5. rok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17312"/>
        <c:axId val="40318848"/>
      </c:lineChart>
      <c:catAx>
        <c:axId val="4031731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40318848"/>
        <c:crosses val="autoZero"/>
        <c:auto val="1"/>
        <c:lblAlgn val="ctr"/>
        <c:lblOffset val="100"/>
        <c:noMultiLvlLbl val="0"/>
      </c:catAx>
      <c:valAx>
        <c:axId val="4031884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031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2014-01-08T16:17:00Z</dcterms:created>
  <dcterms:modified xsi:type="dcterms:W3CDTF">2014-02-08T14:59:00Z</dcterms:modified>
</cp:coreProperties>
</file>